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C757" w14:textId="56CF500C" w:rsidR="00A360E3" w:rsidRPr="006B5A94" w:rsidRDefault="00D11B24" w:rsidP="007E6D4A">
      <w:pPr>
        <w:jc w:val="center"/>
        <w:outlineLvl w:val="0"/>
        <w:rPr>
          <w:b/>
          <w:sz w:val="22"/>
          <w:szCs w:val="22"/>
        </w:rPr>
      </w:pPr>
      <w:r w:rsidRPr="006B5A94">
        <w:rPr>
          <w:b/>
          <w:sz w:val="22"/>
          <w:szCs w:val="22"/>
        </w:rPr>
        <w:t xml:space="preserve">ACTA DE DIRECTORIO </w:t>
      </w:r>
      <w:proofErr w:type="spellStart"/>
      <w:r w:rsidRPr="007508B6">
        <w:rPr>
          <w:b/>
          <w:sz w:val="22"/>
          <w:szCs w:val="22"/>
        </w:rPr>
        <w:t>Nº</w:t>
      </w:r>
      <w:proofErr w:type="spellEnd"/>
      <w:r w:rsidR="00AF3C34" w:rsidRPr="007508B6">
        <w:rPr>
          <w:b/>
          <w:sz w:val="22"/>
          <w:szCs w:val="22"/>
        </w:rPr>
        <w:t xml:space="preserve"> </w:t>
      </w:r>
      <w:r w:rsidR="00D32046" w:rsidRPr="007508B6">
        <w:rPr>
          <w:b/>
          <w:sz w:val="22"/>
          <w:szCs w:val="22"/>
        </w:rPr>
        <w:t>3</w:t>
      </w:r>
      <w:r w:rsidR="00F33438">
        <w:rPr>
          <w:b/>
          <w:sz w:val="22"/>
          <w:szCs w:val="22"/>
        </w:rPr>
        <w:t>8</w:t>
      </w:r>
      <w:r w:rsidR="00F34C99">
        <w:rPr>
          <w:b/>
          <w:sz w:val="22"/>
          <w:szCs w:val="22"/>
        </w:rPr>
        <w:t>8</w:t>
      </w:r>
      <w:r w:rsidR="004202B6" w:rsidRPr="006B5A94">
        <w:rPr>
          <w:b/>
          <w:sz w:val="22"/>
          <w:szCs w:val="22"/>
        </w:rPr>
        <w:t>.</w:t>
      </w:r>
    </w:p>
    <w:p w14:paraId="283505AF" w14:textId="77777777" w:rsidR="00545A81" w:rsidRPr="001268B8" w:rsidRDefault="00545A81" w:rsidP="00AF3C34">
      <w:pPr>
        <w:jc w:val="center"/>
        <w:rPr>
          <w:sz w:val="22"/>
          <w:szCs w:val="22"/>
        </w:rPr>
      </w:pPr>
    </w:p>
    <w:p w14:paraId="1527E371" w14:textId="77777777" w:rsidR="006B2BA8" w:rsidRPr="001268B8" w:rsidRDefault="006B2BA8" w:rsidP="00DF2048">
      <w:pPr>
        <w:pStyle w:val="Textoindependiente"/>
        <w:rPr>
          <w:sz w:val="22"/>
          <w:szCs w:val="22"/>
        </w:rPr>
      </w:pPr>
    </w:p>
    <w:p w14:paraId="3317BDB4" w14:textId="26DB13E3" w:rsidR="00E67DE6" w:rsidRPr="001268B8" w:rsidRDefault="00E67DE6" w:rsidP="00E67DE6">
      <w:pPr>
        <w:autoSpaceDE w:val="0"/>
        <w:autoSpaceDN w:val="0"/>
        <w:adjustRightInd w:val="0"/>
        <w:jc w:val="both"/>
        <w:rPr>
          <w:rFonts w:ascii="Garamond" w:hAnsi="Garamond"/>
          <w:sz w:val="22"/>
          <w:szCs w:val="22"/>
          <w:u w:val="none"/>
        </w:rPr>
      </w:pPr>
      <w:r w:rsidRPr="001268B8">
        <w:rPr>
          <w:rFonts w:ascii="Garamond" w:hAnsi="Garamond"/>
          <w:sz w:val="22"/>
          <w:szCs w:val="22"/>
          <w:u w:val="none"/>
        </w:rPr>
        <w:t xml:space="preserve">En la Ciudad Autónoma de Buenos Aires, a los </w:t>
      </w:r>
      <w:r w:rsidR="00F34C99">
        <w:rPr>
          <w:rFonts w:ascii="Garamond" w:hAnsi="Garamond"/>
          <w:sz w:val="22"/>
          <w:szCs w:val="22"/>
          <w:u w:val="none"/>
        </w:rPr>
        <w:t xml:space="preserve">19 </w:t>
      </w:r>
      <w:r w:rsidRPr="001268B8">
        <w:rPr>
          <w:rFonts w:ascii="Garamond" w:hAnsi="Garamond"/>
          <w:sz w:val="22"/>
          <w:szCs w:val="22"/>
          <w:u w:val="none"/>
        </w:rPr>
        <w:t xml:space="preserve">días del mes de </w:t>
      </w:r>
      <w:r w:rsidR="00DE642E" w:rsidRPr="001268B8">
        <w:rPr>
          <w:rFonts w:ascii="Garamond" w:hAnsi="Garamond"/>
          <w:sz w:val="22"/>
          <w:szCs w:val="22"/>
          <w:u w:val="none"/>
        </w:rPr>
        <w:t>agosto</w:t>
      </w:r>
      <w:r w:rsidRPr="001268B8">
        <w:rPr>
          <w:rFonts w:ascii="Garamond" w:hAnsi="Garamond"/>
          <w:sz w:val="22"/>
          <w:szCs w:val="22"/>
          <w:u w:val="none"/>
        </w:rPr>
        <w:t xml:space="preserve"> de 2021, siendo las 1</w:t>
      </w:r>
      <w:r w:rsidR="00B766D0" w:rsidRPr="001268B8">
        <w:rPr>
          <w:rFonts w:ascii="Garamond" w:hAnsi="Garamond"/>
          <w:sz w:val="22"/>
          <w:szCs w:val="22"/>
          <w:u w:val="none"/>
        </w:rPr>
        <w:t>0</w:t>
      </w:r>
      <w:r w:rsidRPr="001268B8">
        <w:rPr>
          <w:rFonts w:ascii="Garamond" w:hAnsi="Garamond"/>
          <w:sz w:val="22"/>
          <w:szCs w:val="22"/>
          <w:u w:val="none"/>
        </w:rPr>
        <w:t>:</w:t>
      </w:r>
      <w:r w:rsidR="00B766D0" w:rsidRPr="001268B8">
        <w:rPr>
          <w:rFonts w:ascii="Garamond" w:hAnsi="Garamond"/>
          <w:sz w:val="22"/>
          <w:szCs w:val="22"/>
          <w:u w:val="none"/>
        </w:rPr>
        <w:t>00</w:t>
      </w:r>
      <w:r w:rsidRPr="001268B8">
        <w:rPr>
          <w:rFonts w:ascii="Garamond" w:hAnsi="Garamond"/>
          <w:sz w:val="22"/>
          <w:szCs w:val="22"/>
          <w:u w:val="none"/>
        </w:rPr>
        <w:t xml:space="preserve"> horas se reúnen en la sede social sita en la Av. Madero 900, Piso 19º, de esta ciudad, los miembros del Directorio de</w:t>
      </w:r>
      <w:r w:rsidRPr="001268B8">
        <w:rPr>
          <w:rFonts w:ascii="Garamond" w:hAnsi="Garamond"/>
          <w:b/>
          <w:bCs/>
          <w:sz w:val="22"/>
          <w:szCs w:val="22"/>
          <w:u w:val="none"/>
        </w:rPr>
        <w:t xml:space="preserve"> SBS ASSET MANAGEMENT S.A. SOCIEDAD GERENTE DE FONDOS COMUNES DE INVERSIÓN</w:t>
      </w:r>
      <w:r w:rsidRPr="001268B8">
        <w:rPr>
          <w:rFonts w:ascii="Garamond" w:hAnsi="Garamond"/>
          <w:sz w:val="22"/>
          <w:szCs w:val="22"/>
          <w:u w:val="none"/>
        </w:rPr>
        <w:t xml:space="preserve"> (la “Sociedad”), que firman al pie de la presente. También se encuentra presente el Sr. Mariano César Nader, en representación de la Comisión Fiscalizadora. Preside el acto el Sr. Marcelo Adrián Menéndez, quien abre el acto para tratar el siguiente orden del día:</w:t>
      </w:r>
    </w:p>
    <w:p w14:paraId="494BC586" w14:textId="77777777" w:rsidR="00D11B24" w:rsidRPr="001268B8" w:rsidRDefault="00D11B24" w:rsidP="00DF2048">
      <w:pPr>
        <w:pStyle w:val="Textoindependiente"/>
        <w:rPr>
          <w:sz w:val="22"/>
          <w:szCs w:val="22"/>
        </w:rPr>
      </w:pPr>
    </w:p>
    <w:p w14:paraId="4CB48149" w14:textId="77777777" w:rsidR="001268B8" w:rsidRPr="001268B8" w:rsidRDefault="001268B8" w:rsidP="001268B8">
      <w:pPr>
        <w:autoSpaceDE w:val="0"/>
        <w:autoSpaceDN w:val="0"/>
        <w:adjustRightInd w:val="0"/>
        <w:jc w:val="both"/>
        <w:rPr>
          <w:rFonts w:ascii="Garamond" w:hAnsi="Garamond"/>
          <w:b/>
          <w:sz w:val="22"/>
          <w:szCs w:val="22"/>
          <w:lang w:val="es-ES"/>
        </w:rPr>
      </w:pPr>
      <w:bookmarkStart w:id="0" w:name="_Hlk42261497"/>
      <w:r w:rsidRPr="001268B8">
        <w:rPr>
          <w:rFonts w:ascii="Garamond" w:hAnsi="Garamond"/>
          <w:b/>
          <w:sz w:val="22"/>
          <w:szCs w:val="22"/>
          <w:lang w:val="es-ES"/>
        </w:rPr>
        <w:t>APROBACIÓN DE POLÍTICA DE INVERSIÓN ESPECÍFICA PARA EL FONDO COMUN DE INVERSIÓN “SBS PESOS PLUS FCI” (EL “FONDO”).</w:t>
      </w:r>
    </w:p>
    <w:p w14:paraId="43D098D3" w14:textId="77777777" w:rsidR="001268B8" w:rsidRPr="001268B8" w:rsidRDefault="001268B8" w:rsidP="001268B8">
      <w:pPr>
        <w:autoSpaceDE w:val="0"/>
        <w:autoSpaceDN w:val="0"/>
        <w:adjustRightInd w:val="0"/>
        <w:ind w:left="360"/>
        <w:jc w:val="both"/>
        <w:rPr>
          <w:rFonts w:ascii="Garamond" w:hAnsi="Garamond"/>
          <w:b/>
          <w:sz w:val="22"/>
          <w:szCs w:val="22"/>
          <w:lang w:val="es-ES"/>
        </w:rPr>
      </w:pPr>
    </w:p>
    <w:p w14:paraId="34839F2F"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 xml:space="preserve">Toma la palabra el Sr. </w:t>
      </w:r>
      <w:proofErr w:type="gramStart"/>
      <w:r w:rsidRPr="001268B8">
        <w:rPr>
          <w:rFonts w:ascii="Garamond" w:hAnsi="Garamond"/>
          <w:bCs/>
          <w:sz w:val="22"/>
          <w:szCs w:val="22"/>
          <w:u w:val="none"/>
          <w:lang w:val="es-ES"/>
        </w:rPr>
        <w:t>Presidente</w:t>
      </w:r>
      <w:proofErr w:type="gramEnd"/>
      <w:r w:rsidRPr="001268B8">
        <w:rPr>
          <w:rFonts w:ascii="Garamond" w:hAnsi="Garamond"/>
          <w:bCs/>
          <w:sz w:val="22"/>
          <w:szCs w:val="22"/>
          <w:u w:val="none"/>
          <w:lang w:val="es-ES"/>
        </w:rPr>
        <w:t xml:space="preserve">, quien propone la aprobación de una Política de Inversión Específica (“PIE”) para el Fondo, en todo de acuerdo con lo dispuesto y autorizado por la RG 900 de la Comisión Nacional de Valores.  La PIE determinará las inversiones del FCI en los siguientes términos: </w:t>
      </w:r>
    </w:p>
    <w:p w14:paraId="387EA152"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6CFF990F"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 xml:space="preserve">A. Hasta el 100% del patrimonio neto del FCI, y al menos el 55% del patrimonio neto del FCI se invertirá en títulos de deuda pública nacional adquiridos en colocación primaria, con un vencimiento menor o igual a un año. </w:t>
      </w:r>
    </w:p>
    <w:p w14:paraId="249FBF39"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1F77C167"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 xml:space="preserve">B. Hasta el 45% del patrimonio neto del FCI podrá invertirse en </w:t>
      </w:r>
      <w:proofErr w:type="spellStart"/>
      <w:r w:rsidRPr="001268B8">
        <w:rPr>
          <w:rFonts w:ascii="Garamond" w:hAnsi="Garamond"/>
          <w:bCs/>
          <w:sz w:val="22"/>
          <w:szCs w:val="22"/>
          <w:u w:val="none"/>
          <w:lang w:val="es-ES"/>
        </w:rPr>
        <w:t>cuotapartes</w:t>
      </w:r>
      <w:proofErr w:type="spellEnd"/>
      <w:r w:rsidRPr="001268B8">
        <w:rPr>
          <w:rFonts w:ascii="Garamond" w:hAnsi="Garamond"/>
          <w:bCs/>
          <w:sz w:val="22"/>
          <w:szCs w:val="22"/>
          <w:u w:val="none"/>
          <w:lang w:val="es-ES"/>
        </w:rPr>
        <w:t xml:space="preserve"> de fondos comunes de inversión encuadrados en el inciso b) del art. 4 de la Sección II del Capítulo II del Título V de las Normas, administrados por una sociedad gerente diferente de SBS ASSET MANAGEMENT S.A. SOCIEDAD GERENTE DE FONDOS COMUNES DE INVERSIÓN, sin que puedan resultar participaciones recíprocas. </w:t>
      </w:r>
    </w:p>
    <w:p w14:paraId="50436223"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4418AAC3"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 xml:space="preserve">C. Hasta el 45% del patrimonio neto del FCI podrá invertirse en los siguientes activos: </w:t>
      </w:r>
    </w:p>
    <w:p w14:paraId="015BD0B6"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C.1. Certificados de Valores (CEVA), cuyo subyacente sean ACTIVOS AUTORIZADOS de renta fija, en todo de acuerdo con las regulaciones y limitaciones que a estos efectos establezca la COMISIÓN NACIONAL DE VALORES.</w:t>
      </w:r>
    </w:p>
    <w:p w14:paraId="3A628FBD"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C.2. Cédulas y letras hipotecarias.</w:t>
      </w:r>
    </w:p>
    <w:p w14:paraId="72311349"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C.3.Obligaciones negociables.</w:t>
      </w:r>
    </w:p>
    <w:p w14:paraId="5FBDC3B7"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C.4.Valores negociables representativos de deuda a corto plazo emitidos de acuerdo con las NORMAS.</w:t>
      </w:r>
    </w:p>
    <w:p w14:paraId="0E0A286A"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C.5. Títulos de deuda pública nacional, provincial y municipal, letras del tesoro, y títulos emitidos por otros entes, u organismos, descentralizados o autárquicos, pertenecientes al sector público, cumpliendo en su caso con las reglamentaciones pertinentes. Se excluye de la presente enumeración los valores negociables mencionados en el punto A) precedente.</w:t>
      </w:r>
    </w:p>
    <w:p w14:paraId="36BD1152"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C.6. Títulos valores representativos de deuda fiduciaria.</w:t>
      </w:r>
    </w:p>
    <w:p w14:paraId="0E4E5414"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C.7. Cheques de pago diferido, y letras de cambio o pagarés negociables en mercados autorizados por la COMISIÓN NACIONAL DE VALORES, con gestión de cobranza y compensación mediante Agentes de Depósito Colectivo autorizados por la COMISIÓN NACIONAL DE VALORES que operen con otros entes de compensación de valores. Para los cheques de pago diferido, letras de cambio o pagarés que no sean avalados, el CUSTODIO deberá prestar previa conformidad al mecanismo de cobranza y compensación cuando éste no fuera Caja de Valores S.A.</w:t>
      </w:r>
    </w:p>
    <w:p w14:paraId="6DFC3C35"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009EBF42"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D. Hasta el 25% del patrimonio neto del Fondo podrá invertirse en los siguientes activos:</w:t>
      </w:r>
    </w:p>
    <w:p w14:paraId="651C0025"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D.1. Acciones ordinarias, preferidas, de participación, cupones de suscripción de acciones (o sus certificados representativos), u otros activos financieros representativos del capital social con oferta pública.</w:t>
      </w:r>
    </w:p>
    <w:p w14:paraId="7E3E7BFB"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D.2. Certificados de participación de fideicomisos financieros.</w:t>
      </w:r>
    </w:p>
    <w:p w14:paraId="3E27511B"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D.3. Certificados de Valores Negociables (CEVA), cuyo subyacente sean ACTIVOS AUTORIZADOS de renta variable, en todo de acuerdo con las regulaciones y limitaciones que a estos efectos establezca la COMISIÓN NACIONAL DE VALORES.</w:t>
      </w:r>
    </w:p>
    <w:p w14:paraId="055F5BA5"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 xml:space="preserve">D.4. Participaciones en fondos de inversión no registrados en la República Argentina, administrados por un sujeto diferente del ADMINISTRADOR (incluyendo Exchange </w:t>
      </w:r>
      <w:proofErr w:type="spellStart"/>
      <w:r w:rsidRPr="001268B8">
        <w:rPr>
          <w:rFonts w:ascii="Garamond" w:hAnsi="Garamond"/>
          <w:bCs/>
          <w:sz w:val="22"/>
          <w:szCs w:val="22"/>
          <w:u w:val="none"/>
          <w:lang w:val="es-ES"/>
        </w:rPr>
        <w:t>Traded</w:t>
      </w:r>
      <w:proofErr w:type="spellEnd"/>
      <w:r w:rsidRPr="001268B8">
        <w:rPr>
          <w:rFonts w:ascii="Garamond" w:hAnsi="Garamond"/>
          <w:bCs/>
          <w:sz w:val="22"/>
          <w:szCs w:val="22"/>
          <w:u w:val="none"/>
          <w:lang w:val="es-ES"/>
        </w:rPr>
        <w:t xml:space="preserve"> </w:t>
      </w:r>
      <w:proofErr w:type="spellStart"/>
      <w:r w:rsidRPr="001268B8">
        <w:rPr>
          <w:rFonts w:ascii="Garamond" w:hAnsi="Garamond"/>
          <w:bCs/>
          <w:sz w:val="22"/>
          <w:szCs w:val="22"/>
          <w:u w:val="none"/>
          <w:lang w:val="es-ES"/>
        </w:rPr>
        <w:t>Funds</w:t>
      </w:r>
      <w:proofErr w:type="spellEnd"/>
      <w:r w:rsidRPr="001268B8">
        <w:rPr>
          <w:rFonts w:ascii="Garamond" w:hAnsi="Garamond"/>
          <w:bCs/>
          <w:sz w:val="22"/>
          <w:szCs w:val="22"/>
          <w:u w:val="none"/>
          <w:lang w:val="es-ES"/>
        </w:rPr>
        <w:t xml:space="preserve"> - ETF).</w:t>
      </w:r>
    </w:p>
    <w:p w14:paraId="364B6C75"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D.5. Certificados de Depósito en Custodia (</w:t>
      </w:r>
      <w:proofErr w:type="spellStart"/>
      <w:r w:rsidRPr="001268B8">
        <w:rPr>
          <w:rFonts w:ascii="Garamond" w:hAnsi="Garamond"/>
          <w:bCs/>
          <w:sz w:val="22"/>
          <w:szCs w:val="22"/>
          <w:u w:val="none"/>
          <w:lang w:val="es-ES"/>
        </w:rPr>
        <w:t>ADRs</w:t>
      </w:r>
      <w:proofErr w:type="spellEnd"/>
      <w:r w:rsidRPr="001268B8">
        <w:rPr>
          <w:rFonts w:ascii="Garamond" w:hAnsi="Garamond"/>
          <w:bCs/>
          <w:sz w:val="22"/>
          <w:szCs w:val="22"/>
          <w:u w:val="none"/>
          <w:lang w:val="es-ES"/>
        </w:rPr>
        <w:t xml:space="preserve">, </w:t>
      </w:r>
      <w:proofErr w:type="spellStart"/>
      <w:r w:rsidRPr="001268B8">
        <w:rPr>
          <w:rFonts w:ascii="Garamond" w:hAnsi="Garamond"/>
          <w:bCs/>
          <w:sz w:val="22"/>
          <w:szCs w:val="22"/>
          <w:u w:val="none"/>
          <w:lang w:val="es-ES"/>
        </w:rPr>
        <w:t>BDRs</w:t>
      </w:r>
      <w:proofErr w:type="spellEnd"/>
      <w:r w:rsidRPr="001268B8">
        <w:rPr>
          <w:rFonts w:ascii="Garamond" w:hAnsi="Garamond"/>
          <w:bCs/>
          <w:sz w:val="22"/>
          <w:szCs w:val="22"/>
          <w:u w:val="none"/>
          <w:lang w:val="es-ES"/>
        </w:rPr>
        <w:t xml:space="preserve">, </w:t>
      </w:r>
      <w:proofErr w:type="spellStart"/>
      <w:r w:rsidRPr="001268B8">
        <w:rPr>
          <w:rFonts w:ascii="Garamond" w:hAnsi="Garamond"/>
          <w:bCs/>
          <w:sz w:val="22"/>
          <w:szCs w:val="22"/>
          <w:u w:val="none"/>
          <w:lang w:val="es-ES"/>
        </w:rPr>
        <w:t>GDRs</w:t>
      </w:r>
      <w:proofErr w:type="spellEnd"/>
      <w:r w:rsidRPr="001268B8">
        <w:rPr>
          <w:rFonts w:ascii="Garamond" w:hAnsi="Garamond"/>
          <w:bCs/>
          <w:sz w:val="22"/>
          <w:szCs w:val="22"/>
          <w:u w:val="none"/>
          <w:lang w:val="es-ES"/>
        </w:rPr>
        <w:t xml:space="preserve">, </w:t>
      </w:r>
      <w:proofErr w:type="spellStart"/>
      <w:r w:rsidRPr="001268B8">
        <w:rPr>
          <w:rFonts w:ascii="Garamond" w:hAnsi="Garamond"/>
          <w:bCs/>
          <w:sz w:val="22"/>
          <w:szCs w:val="22"/>
          <w:u w:val="none"/>
          <w:lang w:val="es-ES"/>
        </w:rPr>
        <w:t>GDSs</w:t>
      </w:r>
      <w:proofErr w:type="spellEnd"/>
      <w:r w:rsidRPr="001268B8">
        <w:rPr>
          <w:rFonts w:ascii="Garamond" w:hAnsi="Garamond"/>
          <w:bCs/>
          <w:sz w:val="22"/>
          <w:szCs w:val="22"/>
          <w:u w:val="none"/>
          <w:lang w:val="es-ES"/>
        </w:rPr>
        <w:t>, etc.).</w:t>
      </w:r>
    </w:p>
    <w:p w14:paraId="068CA218"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D.6. Certificados de Depósito Argentinos (CEDEAR).</w:t>
      </w:r>
    </w:p>
    <w:p w14:paraId="5C33212C"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308C8681"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E. Hasta el 20% del patrimonio neto del Fondo podrá invertirse en los siguientes activos:</w:t>
      </w:r>
    </w:p>
    <w:p w14:paraId="1A10BD76"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E.1. Depósitos a plazo fijo e inversiones a plazo previstas en la normativa del BCRA, en entidades financieras autorizadas por el BCRA (siempre distintas del Custodio).</w:t>
      </w:r>
    </w:p>
    <w:p w14:paraId="0F410CFF"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E.2. Operaciones activas de pase o cauciones admitiéndose la tenencia transitoria de los valores negociables afectados a estas operaciones, sobre los valores negociables que compongan la cartera del Fondo y que cuenten con oferta pública autorizada y negociación en la República Argentina.</w:t>
      </w:r>
    </w:p>
    <w:p w14:paraId="4D9C3DCB"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E.3. Operaciones de préstamo de valores negociables, como prestamistas o colocadores, sobre los valores negociables que compongan la cartera del Fondo y que cuenten con oferta pública autorizada y negociación en la República Argentina.</w:t>
      </w:r>
    </w:p>
    <w:p w14:paraId="7DFB868F"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E.4. Warrants.</w:t>
      </w:r>
    </w:p>
    <w:p w14:paraId="356618C8"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28D17BD0"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F. Hasta el 10% del patrimonio neto del Fondo podrá invertirse en los siguientes activos:</w:t>
      </w:r>
    </w:p>
    <w:p w14:paraId="07879529"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F.1. Divisas.</w:t>
      </w:r>
    </w:p>
    <w:p w14:paraId="7771FB04"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6AB7C056"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G - Con relación a las disponibilidades del Fondo, resultará aplicable lo previsto en las CLÁUSULAS GENERALES</w:t>
      </w:r>
    </w:p>
    <w:p w14:paraId="265A950F"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7C1536EA" w14:textId="77777777" w:rsidR="001268B8" w:rsidRPr="001268B8" w:rsidRDefault="001268B8" w:rsidP="001268B8">
      <w:pPr>
        <w:autoSpaceDE w:val="0"/>
        <w:autoSpaceDN w:val="0"/>
        <w:adjustRightInd w:val="0"/>
        <w:jc w:val="both"/>
        <w:rPr>
          <w:rFonts w:ascii="Garamond" w:hAnsi="Garamond"/>
          <w:bCs/>
          <w:sz w:val="22"/>
          <w:szCs w:val="22"/>
          <w:u w:val="none"/>
          <w:lang w:val="es-ES"/>
        </w:rPr>
      </w:pPr>
      <w:r w:rsidRPr="001268B8">
        <w:rPr>
          <w:rFonts w:ascii="Garamond" w:hAnsi="Garamond"/>
          <w:bCs/>
          <w:sz w:val="22"/>
          <w:szCs w:val="22"/>
          <w:u w:val="none"/>
          <w:lang w:val="es-ES"/>
        </w:rPr>
        <w:t xml:space="preserve">H – Con relación a los derivados se ratifica lo dispuesto en las CLÁUSULAS PARTICULARES del Reglamento de Gestión del Fondo vigente. </w:t>
      </w:r>
    </w:p>
    <w:p w14:paraId="54E8A060" w14:textId="77777777" w:rsidR="001268B8" w:rsidRPr="001268B8" w:rsidRDefault="001268B8" w:rsidP="001268B8">
      <w:pPr>
        <w:autoSpaceDE w:val="0"/>
        <w:autoSpaceDN w:val="0"/>
        <w:adjustRightInd w:val="0"/>
        <w:ind w:left="360"/>
        <w:jc w:val="both"/>
        <w:rPr>
          <w:rFonts w:ascii="Garamond" w:hAnsi="Garamond"/>
          <w:bCs/>
          <w:sz w:val="22"/>
          <w:szCs w:val="22"/>
          <w:u w:val="none"/>
          <w:lang w:val="es-ES"/>
        </w:rPr>
      </w:pPr>
    </w:p>
    <w:p w14:paraId="2044DE62" w14:textId="19EBD299" w:rsidR="00B766D0" w:rsidRPr="001268B8" w:rsidRDefault="001268B8" w:rsidP="001268B8">
      <w:pPr>
        <w:autoSpaceDE w:val="0"/>
        <w:autoSpaceDN w:val="0"/>
        <w:adjustRightInd w:val="0"/>
        <w:jc w:val="both"/>
        <w:rPr>
          <w:rFonts w:ascii="Garamond" w:hAnsi="Garamond"/>
          <w:bCs/>
          <w:sz w:val="22"/>
          <w:szCs w:val="22"/>
          <w:u w:val="none"/>
        </w:rPr>
      </w:pPr>
      <w:r w:rsidRPr="001268B8">
        <w:rPr>
          <w:rFonts w:ascii="Garamond" w:hAnsi="Garamond"/>
          <w:bCs/>
          <w:sz w:val="22"/>
          <w:szCs w:val="22"/>
          <w:u w:val="none"/>
        </w:rPr>
        <w:t>I-No se realizarán inversiones en activos distintos de los indicados.</w:t>
      </w:r>
    </w:p>
    <w:p w14:paraId="63C9FBD7" w14:textId="77777777" w:rsidR="001268B8" w:rsidRPr="001268B8" w:rsidRDefault="001268B8" w:rsidP="001268B8">
      <w:pPr>
        <w:pStyle w:val="Prrafodelista"/>
        <w:autoSpaceDE w:val="0"/>
        <w:autoSpaceDN w:val="0"/>
        <w:adjustRightInd w:val="0"/>
        <w:ind w:left="1080"/>
        <w:jc w:val="both"/>
        <w:rPr>
          <w:bCs/>
          <w:sz w:val="22"/>
          <w:szCs w:val="22"/>
        </w:rPr>
      </w:pPr>
    </w:p>
    <w:bookmarkEnd w:id="0"/>
    <w:p w14:paraId="4FDF27B5" w14:textId="07E0B177" w:rsidR="00DE642E" w:rsidRPr="001268B8" w:rsidRDefault="00DE642E" w:rsidP="001268B8">
      <w:pPr>
        <w:spacing w:line="276" w:lineRule="auto"/>
        <w:jc w:val="both"/>
        <w:rPr>
          <w:rFonts w:ascii="Garamond" w:hAnsi="Garamond"/>
          <w:sz w:val="22"/>
          <w:szCs w:val="22"/>
          <w:u w:val="none"/>
        </w:rPr>
      </w:pPr>
      <w:r w:rsidRPr="001268B8">
        <w:rPr>
          <w:rFonts w:ascii="Garamond" w:hAnsi="Garamond"/>
          <w:bCs/>
          <w:sz w:val="22"/>
          <w:szCs w:val="22"/>
          <w:u w:val="none"/>
        </w:rPr>
        <w:t>Man</w:t>
      </w:r>
      <w:r w:rsidRPr="001268B8">
        <w:rPr>
          <w:rFonts w:ascii="Garamond" w:hAnsi="Garamond"/>
          <w:sz w:val="22"/>
          <w:szCs w:val="22"/>
          <w:u w:val="none"/>
        </w:rPr>
        <w:t>ifestando los presentes su conformidad con lo hasta aquí actuado, y no habiendo otros asuntos que tratar, se levanta la sesión siendo las 1</w:t>
      </w:r>
      <w:r w:rsidR="00B766D0" w:rsidRPr="001268B8">
        <w:rPr>
          <w:rFonts w:ascii="Garamond" w:hAnsi="Garamond"/>
          <w:sz w:val="22"/>
          <w:szCs w:val="22"/>
          <w:u w:val="none"/>
        </w:rPr>
        <w:t>0</w:t>
      </w:r>
      <w:r w:rsidRPr="001268B8">
        <w:rPr>
          <w:rFonts w:ascii="Garamond" w:hAnsi="Garamond"/>
          <w:sz w:val="22"/>
          <w:szCs w:val="22"/>
          <w:u w:val="none"/>
        </w:rPr>
        <w:t>:</w:t>
      </w:r>
      <w:r w:rsidR="00B766D0" w:rsidRPr="001268B8">
        <w:rPr>
          <w:rFonts w:ascii="Garamond" w:hAnsi="Garamond"/>
          <w:sz w:val="22"/>
          <w:szCs w:val="22"/>
          <w:u w:val="none"/>
        </w:rPr>
        <w:t>3</w:t>
      </w:r>
      <w:r w:rsidR="00174574" w:rsidRPr="001268B8">
        <w:rPr>
          <w:rFonts w:ascii="Garamond" w:hAnsi="Garamond"/>
          <w:sz w:val="22"/>
          <w:szCs w:val="22"/>
          <w:u w:val="none"/>
        </w:rPr>
        <w:t>0</w:t>
      </w:r>
      <w:r w:rsidRPr="001268B8">
        <w:rPr>
          <w:rFonts w:ascii="Garamond" w:hAnsi="Garamond"/>
          <w:sz w:val="22"/>
          <w:szCs w:val="22"/>
          <w:u w:val="none"/>
        </w:rPr>
        <w:t xml:space="preserve"> horas, previa lectura y firma del Acta. </w:t>
      </w:r>
    </w:p>
    <w:p w14:paraId="1B8E5F19" w14:textId="3F032066" w:rsidR="00D11B24" w:rsidRPr="00F022E2" w:rsidRDefault="00D11B24" w:rsidP="001268B8">
      <w:pPr>
        <w:suppressAutoHyphens w:val="0"/>
        <w:autoSpaceDE w:val="0"/>
        <w:autoSpaceDN w:val="0"/>
        <w:adjustRightInd w:val="0"/>
        <w:jc w:val="both"/>
        <w:rPr>
          <w:rFonts w:ascii="Garamond" w:hAnsi="Garamond"/>
          <w:u w:val="none"/>
        </w:rPr>
      </w:pPr>
    </w:p>
    <w:p w14:paraId="74932BD2" w14:textId="4D04FE04" w:rsidR="00A67599" w:rsidRPr="00F022E2" w:rsidRDefault="00A67599" w:rsidP="001268B8">
      <w:pPr>
        <w:jc w:val="both"/>
        <w:rPr>
          <w:rFonts w:ascii="Garamond" w:hAnsi="Garamond"/>
          <w:u w:val="none"/>
        </w:rPr>
      </w:pPr>
    </w:p>
    <w:p w14:paraId="23670603" w14:textId="77777777" w:rsidR="00A67599" w:rsidRPr="006D1E61" w:rsidRDefault="00A67599" w:rsidP="001268B8">
      <w:pPr>
        <w:jc w:val="both"/>
        <w:rPr>
          <w:rFonts w:ascii="Garamond" w:hAnsi="Garamond"/>
          <w:sz w:val="24"/>
          <w:szCs w:val="24"/>
          <w:u w:val="none"/>
        </w:rPr>
      </w:pPr>
    </w:p>
    <w:p w14:paraId="425E754F" w14:textId="6C3BD2E0" w:rsidR="00A67599" w:rsidRPr="00F644C3" w:rsidRDefault="00A67599" w:rsidP="003751F3">
      <w:pPr>
        <w:ind w:left="708"/>
        <w:rPr>
          <w:color w:val="A6A6A6" w:themeColor="background1" w:themeShade="A6"/>
          <w:sz w:val="18"/>
          <w:szCs w:val="18"/>
          <w:u w:val="none"/>
        </w:rPr>
      </w:pPr>
      <w:proofErr w:type="spellStart"/>
      <w:r>
        <w:rPr>
          <w:color w:val="A6A6A6" w:themeColor="background1" w:themeShade="A6"/>
          <w:sz w:val="18"/>
          <w:szCs w:val="18"/>
          <w:u w:val="none"/>
        </w:rPr>
        <w:t>Menendez</w:t>
      </w:r>
      <w:proofErr w:type="spellEnd"/>
      <w:r>
        <w:rPr>
          <w:color w:val="A6A6A6" w:themeColor="background1" w:themeShade="A6"/>
          <w:sz w:val="18"/>
          <w:szCs w:val="18"/>
          <w:u w:val="none"/>
        </w:rPr>
        <w:t>, Marcelo Adrián</w:t>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proofErr w:type="gramStart"/>
      <w:r w:rsidRPr="00F644C3">
        <w:rPr>
          <w:color w:val="A6A6A6" w:themeColor="background1" w:themeShade="A6"/>
          <w:sz w:val="18"/>
          <w:szCs w:val="18"/>
          <w:u w:val="none"/>
        </w:rPr>
        <w:tab/>
        <w:t xml:space="preserve">  </w:t>
      </w:r>
      <w:r w:rsidRPr="00F644C3">
        <w:rPr>
          <w:color w:val="A6A6A6" w:themeColor="background1" w:themeShade="A6"/>
          <w:sz w:val="18"/>
          <w:szCs w:val="18"/>
          <w:u w:val="none"/>
        </w:rPr>
        <w:tab/>
      </w:r>
      <w:proofErr w:type="gramEnd"/>
      <w:r w:rsidRPr="00F644C3">
        <w:rPr>
          <w:color w:val="A6A6A6" w:themeColor="background1" w:themeShade="A6"/>
          <w:sz w:val="18"/>
          <w:szCs w:val="18"/>
          <w:u w:val="none"/>
        </w:rPr>
        <w:t xml:space="preserve">  </w:t>
      </w:r>
      <w:r w:rsidR="001268B8" w:rsidRPr="00F644C3">
        <w:rPr>
          <w:color w:val="A6A6A6" w:themeColor="background1" w:themeShade="A6"/>
          <w:sz w:val="18"/>
          <w:szCs w:val="18"/>
          <w:u w:val="none"/>
        </w:rPr>
        <w:t>Trigo, Leandro Ricardo</w:t>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Pr>
          <w:color w:val="A6A6A6" w:themeColor="background1" w:themeShade="A6"/>
          <w:sz w:val="18"/>
          <w:szCs w:val="18"/>
          <w:u w:val="none"/>
        </w:rPr>
        <w:t>Presidente</w:t>
      </w:r>
      <w:r>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t xml:space="preserve">       </w:t>
      </w:r>
      <w:r w:rsidR="001268B8">
        <w:rPr>
          <w:color w:val="A6A6A6" w:themeColor="background1" w:themeShade="A6"/>
          <w:sz w:val="18"/>
          <w:szCs w:val="18"/>
          <w:u w:val="none"/>
        </w:rPr>
        <w:t>Vicepresidente</w:t>
      </w:r>
    </w:p>
    <w:p w14:paraId="3CC737D5" w14:textId="77777777" w:rsidR="00A67599" w:rsidRPr="00F644C3" w:rsidRDefault="00A67599" w:rsidP="00A67599">
      <w:pPr>
        <w:rPr>
          <w:color w:val="A6A6A6" w:themeColor="background1" w:themeShade="A6"/>
          <w:sz w:val="18"/>
          <w:szCs w:val="18"/>
          <w:u w:val="none"/>
        </w:rPr>
      </w:pPr>
    </w:p>
    <w:p w14:paraId="41B5C1F1" w14:textId="77777777" w:rsidR="00A67599" w:rsidRPr="00F644C3" w:rsidRDefault="00A67599" w:rsidP="00A67599">
      <w:pPr>
        <w:rPr>
          <w:color w:val="A6A6A6" w:themeColor="background1" w:themeShade="A6"/>
          <w:sz w:val="18"/>
          <w:szCs w:val="18"/>
          <w:u w:val="none"/>
        </w:rPr>
      </w:pPr>
    </w:p>
    <w:p w14:paraId="6D3DD911" w14:textId="77777777" w:rsidR="003751F3" w:rsidRDefault="003751F3" w:rsidP="00A67599">
      <w:pPr>
        <w:rPr>
          <w:color w:val="A6A6A6" w:themeColor="background1" w:themeShade="A6"/>
          <w:sz w:val="18"/>
          <w:szCs w:val="18"/>
          <w:u w:val="none"/>
        </w:rPr>
      </w:pPr>
    </w:p>
    <w:p w14:paraId="105F8541" w14:textId="77777777" w:rsidR="003751F3" w:rsidRDefault="003751F3" w:rsidP="00A67599">
      <w:pPr>
        <w:rPr>
          <w:color w:val="A6A6A6" w:themeColor="background1" w:themeShade="A6"/>
          <w:sz w:val="18"/>
          <w:szCs w:val="18"/>
          <w:u w:val="none"/>
        </w:rPr>
      </w:pPr>
    </w:p>
    <w:p w14:paraId="068D5455" w14:textId="3D9B7C4A" w:rsidR="00A67599" w:rsidRPr="00F644C3" w:rsidRDefault="00A67599" w:rsidP="003751F3">
      <w:pPr>
        <w:ind w:firstLine="708"/>
        <w:rPr>
          <w:color w:val="A6A6A6" w:themeColor="background1" w:themeShade="A6"/>
          <w:sz w:val="18"/>
          <w:szCs w:val="18"/>
          <w:u w:val="none"/>
        </w:rPr>
      </w:pPr>
      <w:r w:rsidRPr="00F644C3">
        <w:rPr>
          <w:color w:val="A6A6A6" w:themeColor="background1" w:themeShade="A6"/>
          <w:sz w:val="18"/>
          <w:szCs w:val="18"/>
          <w:u w:val="none"/>
        </w:rPr>
        <w:t>Pérez, Guillermo Javier</w:t>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003A467E" w:rsidRPr="00F644C3">
        <w:rPr>
          <w:color w:val="A6A6A6" w:themeColor="background1" w:themeShade="A6"/>
          <w:sz w:val="18"/>
          <w:szCs w:val="18"/>
          <w:u w:val="none"/>
        </w:rPr>
        <w:t>Nader, Mariano Cesar</w:t>
      </w:r>
      <w:r w:rsidR="001268B8">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proofErr w:type="gramStart"/>
      <w:r w:rsidRPr="00F644C3">
        <w:rPr>
          <w:color w:val="A6A6A6" w:themeColor="background1" w:themeShade="A6"/>
          <w:sz w:val="18"/>
          <w:szCs w:val="18"/>
          <w:u w:val="none"/>
        </w:rPr>
        <w:t>Director</w:t>
      </w:r>
      <w:proofErr w:type="gramEnd"/>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Pr="00F644C3">
        <w:rPr>
          <w:color w:val="A6A6A6" w:themeColor="background1" w:themeShade="A6"/>
          <w:sz w:val="18"/>
          <w:szCs w:val="18"/>
          <w:u w:val="none"/>
        </w:rPr>
        <w:tab/>
      </w:r>
      <w:r w:rsidR="003A467E" w:rsidRPr="00F644C3">
        <w:rPr>
          <w:color w:val="A6A6A6" w:themeColor="background1" w:themeShade="A6"/>
          <w:sz w:val="18"/>
          <w:szCs w:val="18"/>
          <w:u w:val="none"/>
        </w:rPr>
        <w:t>Representación de la Comisión Fiscalizadora</w:t>
      </w:r>
    </w:p>
    <w:p w14:paraId="76E8F15B" w14:textId="77777777" w:rsidR="00A67599" w:rsidRPr="00F644C3" w:rsidRDefault="00A67599" w:rsidP="00A67599">
      <w:pPr>
        <w:rPr>
          <w:color w:val="A6A6A6" w:themeColor="background1" w:themeShade="A6"/>
          <w:sz w:val="18"/>
          <w:szCs w:val="18"/>
          <w:u w:val="none"/>
        </w:rPr>
      </w:pPr>
    </w:p>
    <w:p w14:paraId="61801DE7" w14:textId="7E62DF86" w:rsidR="00A67599" w:rsidRDefault="00A67599" w:rsidP="00A67599">
      <w:pPr>
        <w:rPr>
          <w:color w:val="A6A6A6" w:themeColor="background1" w:themeShade="A6"/>
          <w:sz w:val="18"/>
          <w:szCs w:val="18"/>
          <w:u w:val="none"/>
        </w:rPr>
      </w:pPr>
    </w:p>
    <w:p w14:paraId="32260A53" w14:textId="77777777" w:rsidR="003751F3" w:rsidRPr="00F644C3" w:rsidRDefault="003751F3" w:rsidP="00A67599">
      <w:pPr>
        <w:rPr>
          <w:color w:val="A6A6A6" w:themeColor="background1" w:themeShade="A6"/>
          <w:sz w:val="18"/>
          <w:szCs w:val="18"/>
          <w:u w:val="none"/>
        </w:rPr>
      </w:pPr>
    </w:p>
    <w:p w14:paraId="0B080BDA" w14:textId="77777777" w:rsidR="00A67599" w:rsidRPr="00F644C3" w:rsidRDefault="00A67599" w:rsidP="00A67599">
      <w:pPr>
        <w:rPr>
          <w:color w:val="A6A6A6" w:themeColor="background1" w:themeShade="A6"/>
          <w:sz w:val="18"/>
          <w:szCs w:val="18"/>
          <w:u w:val="none"/>
        </w:rPr>
      </w:pPr>
    </w:p>
    <w:p w14:paraId="4EBB5102" w14:textId="75223D6D" w:rsidR="00A67599" w:rsidRPr="00F644C3" w:rsidRDefault="003751F3" w:rsidP="00A67599">
      <w:pPr>
        <w:rPr>
          <w:color w:val="A6A6A6" w:themeColor="background1" w:themeShade="A6"/>
          <w:sz w:val="18"/>
          <w:szCs w:val="18"/>
          <w:u w:val="none"/>
        </w:rPr>
      </w:pPr>
      <w:r>
        <w:rPr>
          <w:color w:val="A6A6A6" w:themeColor="background1" w:themeShade="A6"/>
          <w:sz w:val="18"/>
          <w:szCs w:val="18"/>
          <w:u w:val="none"/>
        </w:rPr>
        <w:tab/>
      </w:r>
      <w:r w:rsidR="005E396B">
        <w:rPr>
          <w:color w:val="A6A6A6" w:themeColor="background1" w:themeShade="A6"/>
          <w:sz w:val="18"/>
          <w:szCs w:val="18"/>
          <w:u w:val="none"/>
        </w:rPr>
        <w:tab/>
      </w:r>
      <w:r w:rsidR="005E396B">
        <w:rPr>
          <w:color w:val="A6A6A6" w:themeColor="background1" w:themeShade="A6"/>
          <w:sz w:val="18"/>
          <w:szCs w:val="18"/>
          <w:u w:val="none"/>
        </w:rPr>
        <w:tab/>
      </w:r>
      <w:r w:rsidR="00A67599" w:rsidRPr="00F644C3">
        <w:rPr>
          <w:color w:val="A6A6A6" w:themeColor="background1" w:themeShade="A6"/>
          <w:sz w:val="18"/>
          <w:szCs w:val="18"/>
          <w:u w:val="none"/>
        </w:rPr>
        <w:tab/>
      </w:r>
      <w:r w:rsidR="00A67599" w:rsidRPr="00F644C3">
        <w:rPr>
          <w:color w:val="A6A6A6" w:themeColor="background1" w:themeShade="A6"/>
          <w:sz w:val="18"/>
          <w:szCs w:val="18"/>
          <w:u w:val="none"/>
        </w:rPr>
        <w:tab/>
      </w:r>
      <w:r w:rsidR="00A67599" w:rsidRPr="00F644C3">
        <w:rPr>
          <w:color w:val="A6A6A6" w:themeColor="background1" w:themeShade="A6"/>
          <w:sz w:val="18"/>
          <w:szCs w:val="18"/>
          <w:u w:val="none"/>
        </w:rPr>
        <w:tab/>
      </w:r>
      <w:r w:rsidR="00A67599" w:rsidRPr="00F644C3">
        <w:rPr>
          <w:color w:val="A6A6A6" w:themeColor="background1" w:themeShade="A6"/>
          <w:sz w:val="18"/>
          <w:szCs w:val="18"/>
          <w:u w:val="none"/>
        </w:rPr>
        <w:tab/>
      </w:r>
      <w:r w:rsidR="00A67599" w:rsidRPr="00F644C3">
        <w:rPr>
          <w:color w:val="A6A6A6" w:themeColor="background1" w:themeShade="A6"/>
          <w:sz w:val="18"/>
          <w:szCs w:val="18"/>
          <w:u w:val="none"/>
        </w:rPr>
        <w:tab/>
      </w:r>
    </w:p>
    <w:p w14:paraId="031F9704" w14:textId="77777777" w:rsidR="00A67599" w:rsidRDefault="00A67599" w:rsidP="00A67599">
      <w:pPr>
        <w:jc w:val="both"/>
        <w:rPr>
          <w:sz w:val="18"/>
          <w:szCs w:val="18"/>
          <w:u w:val="none"/>
        </w:rPr>
      </w:pPr>
    </w:p>
    <w:p w14:paraId="5391BA7D" w14:textId="77777777" w:rsidR="00A67599" w:rsidRPr="00B52B93" w:rsidRDefault="00A67599" w:rsidP="00DF2048">
      <w:pPr>
        <w:rPr>
          <w:rFonts w:ascii="Garamond" w:hAnsi="Garamond"/>
          <w:sz w:val="22"/>
          <w:szCs w:val="22"/>
          <w:u w:val="none"/>
        </w:rPr>
      </w:pPr>
    </w:p>
    <w:p w14:paraId="017A5A8C" w14:textId="77777777" w:rsidR="00112ABE" w:rsidRPr="00B52B93" w:rsidRDefault="00112ABE" w:rsidP="00DF2048">
      <w:pPr>
        <w:rPr>
          <w:rFonts w:ascii="Garamond" w:hAnsi="Garamond"/>
          <w:sz w:val="22"/>
          <w:szCs w:val="22"/>
          <w:u w:val="none"/>
        </w:rPr>
      </w:pPr>
    </w:p>
    <w:p w14:paraId="4DF05E03" w14:textId="77777777" w:rsidR="000E0CBA" w:rsidRDefault="000E0CBA" w:rsidP="00DF2048">
      <w:pPr>
        <w:rPr>
          <w:sz w:val="18"/>
          <w:szCs w:val="18"/>
          <w:u w:val="none"/>
        </w:rPr>
      </w:pPr>
    </w:p>
    <w:sectPr w:rsidR="000E0CBA" w:rsidSect="000175B9">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6E"/>
    <w:multiLevelType w:val="hybridMultilevel"/>
    <w:tmpl w:val="98C2C6D0"/>
    <w:lvl w:ilvl="0" w:tplc="B5A40706">
      <w:start w:val="1"/>
      <w:numFmt w:val="upperRoman"/>
      <w:lvlText w:val="%1-"/>
      <w:lvlJc w:val="left"/>
      <w:pPr>
        <w:ind w:left="1080" w:hanging="720"/>
      </w:pPr>
      <w:rPr>
        <w:rFonts w:ascii="Garamond" w:eastAsia="Times New Roman" w:hAnsi="Garamond"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C655D13"/>
    <w:multiLevelType w:val="hybridMultilevel"/>
    <w:tmpl w:val="58B8F2D2"/>
    <w:lvl w:ilvl="0" w:tplc="224C107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9395903"/>
    <w:multiLevelType w:val="hybridMultilevel"/>
    <w:tmpl w:val="E3FCFD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4875C45"/>
    <w:multiLevelType w:val="hybridMultilevel"/>
    <w:tmpl w:val="D816523C"/>
    <w:lvl w:ilvl="0" w:tplc="3410B15E">
      <w:start w:val="1"/>
      <w:numFmt w:val="upperRoman"/>
      <w:lvlText w:val="%1)"/>
      <w:lvlJc w:val="left"/>
      <w:pPr>
        <w:ind w:left="1080" w:hanging="72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82D5D7D"/>
    <w:multiLevelType w:val="hybridMultilevel"/>
    <w:tmpl w:val="0D2CBE36"/>
    <w:lvl w:ilvl="0" w:tplc="8A5A100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76"/>
    <w:rsid w:val="0000102B"/>
    <w:rsid w:val="00005E63"/>
    <w:rsid w:val="00015E28"/>
    <w:rsid w:val="00016DF4"/>
    <w:rsid w:val="000175B9"/>
    <w:rsid w:val="000242E0"/>
    <w:rsid w:val="00034852"/>
    <w:rsid w:val="00035342"/>
    <w:rsid w:val="00036C05"/>
    <w:rsid w:val="0008026E"/>
    <w:rsid w:val="0008320A"/>
    <w:rsid w:val="00093A4C"/>
    <w:rsid w:val="000B219E"/>
    <w:rsid w:val="000D5292"/>
    <w:rsid w:val="000E0CBA"/>
    <w:rsid w:val="000E25EC"/>
    <w:rsid w:val="000E54A7"/>
    <w:rsid w:val="00112ABE"/>
    <w:rsid w:val="00121436"/>
    <w:rsid w:val="0012215B"/>
    <w:rsid w:val="001268B8"/>
    <w:rsid w:val="0012727D"/>
    <w:rsid w:val="00131739"/>
    <w:rsid w:val="0015258B"/>
    <w:rsid w:val="00174574"/>
    <w:rsid w:val="00190479"/>
    <w:rsid w:val="001965F8"/>
    <w:rsid w:val="001C5783"/>
    <w:rsid w:val="001F2CF0"/>
    <w:rsid w:val="0024262D"/>
    <w:rsid w:val="00244EE5"/>
    <w:rsid w:val="00246EA2"/>
    <w:rsid w:val="00270E08"/>
    <w:rsid w:val="00273375"/>
    <w:rsid w:val="002875AD"/>
    <w:rsid w:val="00290771"/>
    <w:rsid w:val="002C0673"/>
    <w:rsid w:val="002C361D"/>
    <w:rsid w:val="002E1807"/>
    <w:rsid w:val="003106A9"/>
    <w:rsid w:val="0031728E"/>
    <w:rsid w:val="00327063"/>
    <w:rsid w:val="00327EBF"/>
    <w:rsid w:val="00347D9E"/>
    <w:rsid w:val="00366D30"/>
    <w:rsid w:val="0037030B"/>
    <w:rsid w:val="00372E05"/>
    <w:rsid w:val="003751F3"/>
    <w:rsid w:val="00390F35"/>
    <w:rsid w:val="003921FA"/>
    <w:rsid w:val="003A0D2A"/>
    <w:rsid w:val="003A467E"/>
    <w:rsid w:val="003A4FF8"/>
    <w:rsid w:val="003B227F"/>
    <w:rsid w:val="003C3170"/>
    <w:rsid w:val="003D603E"/>
    <w:rsid w:val="003D63D6"/>
    <w:rsid w:val="003E628B"/>
    <w:rsid w:val="003F055C"/>
    <w:rsid w:val="003F6A10"/>
    <w:rsid w:val="004065CC"/>
    <w:rsid w:val="00411FC5"/>
    <w:rsid w:val="004202B6"/>
    <w:rsid w:val="004347CB"/>
    <w:rsid w:val="00436835"/>
    <w:rsid w:val="00447288"/>
    <w:rsid w:val="00451E61"/>
    <w:rsid w:val="00470ED1"/>
    <w:rsid w:val="00474DA8"/>
    <w:rsid w:val="0047605E"/>
    <w:rsid w:val="004A0E21"/>
    <w:rsid w:val="004C40E7"/>
    <w:rsid w:val="004F129B"/>
    <w:rsid w:val="004F3F02"/>
    <w:rsid w:val="00515633"/>
    <w:rsid w:val="00545A81"/>
    <w:rsid w:val="0055718F"/>
    <w:rsid w:val="00557564"/>
    <w:rsid w:val="00585432"/>
    <w:rsid w:val="00592C42"/>
    <w:rsid w:val="005A0590"/>
    <w:rsid w:val="005B65F9"/>
    <w:rsid w:val="005E070B"/>
    <w:rsid w:val="005E396B"/>
    <w:rsid w:val="005F3E43"/>
    <w:rsid w:val="005F5396"/>
    <w:rsid w:val="005F7ABE"/>
    <w:rsid w:val="006130DC"/>
    <w:rsid w:val="00634A12"/>
    <w:rsid w:val="00644D05"/>
    <w:rsid w:val="00647C7D"/>
    <w:rsid w:val="006771A9"/>
    <w:rsid w:val="00684FDE"/>
    <w:rsid w:val="006B2BA8"/>
    <w:rsid w:val="006B3723"/>
    <w:rsid w:val="006B5A94"/>
    <w:rsid w:val="006C0AE5"/>
    <w:rsid w:val="006C22FF"/>
    <w:rsid w:val="006C4BB7"/>
    <w:rsid w:val="006E2F2F"/>
    <w:rsid w:val="006F4538"/>
    <w:rsid w:val="006F4FCF"/>
    <w:rsid w:val="006F68C7"/>
    <w:rsid w:val="00701D74"/>
    <w:rsid w:val="00721155"/>
    <w:rsid w:val="0073017E"/>
    <w:rsid w:val="007311C0"/>
    <w:rsid w:val="00737FB3"/>
    <w:rsid w:val="007401A8"/>
    <w:rsid w:val="00743BAE"/>
    <w:rsid w:val="007505CD"/>
    <w:rsid w:val="007506CE"/>
    <w:rsid w:val="007508B6"/>
    <w:rsid w:val="007524FD"/>
    <w:rsid w:val="00756E09"/>
    <w:rsid w:val="007877C6"/>
    <w:rsid w:val="00797602"/>
    <w:rsid w:val="007B0530"/>
    <w:rsid w:val="007B4E84"/>
    <w:rsid w:val="007B686E"/>
    <w:rsid w:val="007B71D7"/>
    <w:rsid w:val="007C1F79"/>
    <w:rsid w:val="007C3CBC"/>
    <w:rsid w:val="007D0B04"/>
    <w:rsid w:val="007E3385"/>
    <w:rsid w:val="007E3FD9"/>
    <w:rsid w:val="007E6D4A"/>
    <w:rsid w:val="007F1A2C"/>
    <w:rsid w:val="007F56B8"/>
    <w:rsid w:val="007F5B4C"/>
    <w:rsid w:val="0080078D"/>
    <w:rsid w:val="0080346B"/>
    <w:rsid w:val="008343E5"/>
    <w:rsid w:val="0084499D"/>
    <w:rsid w:val="0084614D"/>
    <w:rsid w:val="00865D07"/>
    <w:rsid w:val="00866167"/>
    <w:rsid w:val="00881112"/>
    <w:rsid w:val="00884C88"/>
    <w:rsid w:val="0089157F"/>
    <w:rsid w:val="00891D45"/>
    <w:rsid w:val="008A02BC"/>
    <w:rsid w:val="008B526A"/>
    <w:rsid w:val="008B5EF8"/>
    <w:rsid w:val="008C2EFD"/>
    <w:rsid w:val="008F2AC9"/>
    <w:rsid w:val="009135A2"/>
    <w:rsid w:val="00913697"/>
    <w:rsid w:val="0091436B"/>
    <w:rsid w:val="00920D12"/>
    <w:rsid w:val="00927775"/>
    <w:rsid w:val="00931EF5"/>
    <w:rsid w:val="00940C1A"/>
    <w:rsid w:val="0097559C"/>
    <w:rsid w:val="009825E9"/>
    <w:rsid w:val="00991596"/>
    <w:rsid w:val="009A2B6F"/>
    <w:rsid w:val="009C0375"/>
    <w:rsid w:val="009E1D93"/>
    <w:rsid w:val="009E3249"/>
    <w:rsid w:val="009E3AB1"/>
    <w:rsid w:val="009F3AD2"/>
    <w:rsid w:val="00A055FC"/>
    <w:rsid w:val="00A143E4"/>
    <w:rsid w:val="00A2691F"/>
    <w:rsid w:val="00A360E3"/>
    <w:rsid w:val="00A42ECF"/>
    <w:rsid w:val="00A67599"/>
    <w:rsid w:val="00A778D2"/>
    <w:rsid w:val="00A84AE7"/>
    <w:rsid w:val="00A90BD4"/>
    <w:rsid w:val="00AA5F19"/>
    <w:rsid w:val="00AA6E2F"/>
    <w:rsid w:val="00AB3B4C"/>
    <w:rsid w:val="00AB3E56"/>
    <w:rsid w:val="00AC1823"/>
    <w:rsid w:val="00AD7153"/>
    <w:rsid w:val="00AE1F60"/>
    <w:rsid w:val="00AE3B70"/>
    <w:rsid w:val="00AE56C6"/>
    <w:rsid w:val="00AF3C34"/>
    <w:rsid w:val="00AF4249"/>
    <w:rsid w:val="00B15149"/>
    <w:rsid w:val="00B31DD9"/>
    <w:rsid w:val="00B34928"/>
    <w:rsid w:val="00B40DB4"/>
    <w:rsid w:val="00B52B93"/>
    <w:rsid w:val="00B766D0"/>
    <w:rsid w:val="00BA4082"/>
    <w:rsid w:val="00BB208B"/>
    <w:rsid w:val="00BE303C"/>
    <w:rsid w:val="00BF2EB8"/>
    <w:rsid w:val="00C4555B"/>
    <w:rsid w:val="00C82960"/>
    <w:rsid w:val="00C845C4"/>
    <w:rsid w:val="00C85121"/>
    <w:rsid w:val="00CC51AB"/>
    <w:rsid w:val="00CC7356"/>
    <w:rsid w:val="00CE651D"/>
    <w:rsid w:val="00D026B5"/>
    <w:rsid w:val="00D07CFD"/>
    <w:rsid w:val="00D11B24"/>
    <w:rsid w:val="00D1437F"/>
    <w:rsid w:val="00D17ECF"/>
    <w:rsid w:val="00D31185"/>
    <w:rsid w:val="00D32046"/>
    <w:rsid w:val="00D34085"/>
    <w:rsid w:val="00D3423A"/>
    <w:rsid w:val="00D3480E"/>
    <w:rsid w:val="00D3532B"/>
    <w:rsid w:val="00D47883"/>
    <w:rsid w:val="00D529F1"/>
    <w:rsid w:val="00D72951"/>
    <w:rsid w:val="00D8103A"/>
    <w:rsid w:val="00DC17AF"/>
    <w:rsid w:val="00DE642E"/>
    <w:rsid w:val="00DF2048"/>
    <w:rsid w:val="00DF4593"/>
    <w:rsid w:val="00DF4975"/>
    <w:rsid w:val="00DF5AD6"/>
    <w:rsid w:val="00E01944"/>
    <w:rsid w:val="00E021E1"/>
    <w:rsid w:val="00E05A9B"/>
    <w:rsid w:val="00E2685A"/>
    <w:rsid w:val="00E304F8"/>
    <w:rsid w:val="00E44B8F"/>
    <w:rsid w:val="00E50090"/>
    <w:rsid w:val="00E63F3A"/>
    <w:rsid w:val="00E67DE6"/>
    <w:rsid w:val="00E77067"/>
    <w:rsid w:val="00E84FF0"/>
    <w:rsid w:val="00EA1E67"/>
    <w:rsid w:val="00ED080B"/>
    <w:rsid w:val="00F022E2"/>
    <w:rsid w:val="00F03F27"/>
    <w:rsid w:val="00F04802"/>
    <w:rsid w:val="00F205AD"/>
    <w:rsid w:val="00F2358A"/>
    <w:rsid w:val="00F33438"/>
    <w:rsid w:val="00F34C99"/>
    <w:rsid w:val="00F35676"/>
    <w:rsid w:val="00F6291F"/>
    <w:rsid w:val="00F72E09"/>
    <w:rsid w:val="00F75A38"/>
    <w:rsid w:val="00F83A36"/>
    <w:rsid w:val="00F876E5"/>
    <w:rsid w:val="00FB17F0"/>
    <w:rsid w:val="00FD0C68"/>
    <w:rsid w:val="00FE3B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DBDD3"/>
  <w15:docId w15:val="{701E6C8B-3527-4AA7-9BB1-97E7ED31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uppressAutoHyphens w:val="0"/>
      <w:spacing w:line="360" w:lineRule="auto"/>
      <w:jc w:val="center"/>
    </w:pPr>
    <w:rPr>
      <w:rFonts w:ascii="Garamond" w:hAnsi="Garamond"/>
      <w:b/>
      <w:sz w:val="24"/>
    </w:rPr>
  </w:style>
  <w:style w:type="paragraph" w:styleId="Sangradetextonormal">
    <w:name w:val="Body Text Indent"/>
    <w:basedOn w:val="Normal"/>
    <w:pPr>
      <w:tabs>
        <w:tab w:val="left" w:pos="0"/>
      </w:tabs>
      <w:spacing w:line="360" w:lineRule="auto"/>
      <w:ind w:left="358" w:hanging="74"/>
      <w:jc w:val="both"/>
    </w:pPr>
    <w:rPr>
      <w:spacing w:val="-3"/>
      <w:sz w:val="24"/>
      <w:u w:val="none"/>
      <w:lang w:val="es-ES"/>
    </w:rPr>
  </w:style>
  <w:style w:type="paragraph" w:styleId="Textoindependiente">
    <w:name w:val="Body Text"/>
    <w:basedOn w:val="Normal"/>
    <w:link w:val="TextoindependienteCar"/>
    <w:pPr>
      <w:jc w:val="both"/>
    </w:pPr>
    <w:rPr>
      <w:rFonts w:ascii="Garamond" w:hAnsi="Garamond"/>
      <w:sz w:val="24"/>
      <w:szCs w:val="24"/>
      <w:u w:val="none"/>
    </w:rPr>
  </w:style>
  <w:style w:type="paragraph" w:styleId="Textodeglobo">
    <w:name w:val="Balloon Text"/>
    <w:basedOn w:val="Normal"/>
    <w:semiHidden/>
    <w:rsid w:val="005F4A2B"/>
    <w:rPr>
      <w:rFonts w:ascii="Tahoma" w:hAnsi="Tahoma" w:cs="Tahoma"/>
      <w:sz w:val="16"/>
      <w:szCs w:val="16"/>
    </w:rPr>
  </w:style>
  <w:style w:type="paragraph" w:customStyle="1" w:styleId="Sombreadovistoso-nfasis11">
    <w:name w:val="Sombreado vistoso - Énfasis 11"/>
    <w:hidden/>
    <w:uiPriority w:val="71"/>
    <w:rsid w:val="00866167"/>
    <w:rPr>
      <w:u w:val="single"/>
      <w:lang w:eastAsia="es-ES"/>
    </w:rPr>
  </w:style>
  <w:style w:type="paragraph" w:styleId="Mapadeldocumento">
    <w:name w:val="Document Map"/>
    <w:basedOn w:val="Normal"/>
    <w:link w:val="MapadeldocumentoCar"/>
    <w:rsid w:val="00015E28"/>
    <w:rPr>
      <w:sz w:val="24"/>
      <w:szCs w:val="24"/>
    </w:rPr>
  </w:style>
  <w:style w:type="character" w:customStyle="1" w:styleId="MapadeldocumentoCar">
    <w:name w:val="Mapa del documento Car"/>
    <w:link w:val="Mapadeldocumento"/>
    <w:rsid w:val="00015E28"/>
    <w:rPr>
      <w:sz w:val="24"/>
      <w:szCs w:val="24"/>
      <w:u w:val="single"/>
      <w:lang w:val="es-AR" w:eastAsia="es-ES"/>
    </w:rPr>
  </w:style>
  <w:style w:type="character" w:customStyle="1" w:styleId="TextoindependienteCar">
    <w:name w:val="Texto independiente Car"/>
    <w:link w:val="Textoindependiente"/>
    <w:rsid w:val="00F72E09"/>
    <w:rPr>
      <w:rFonts w:ascii="Garamond" w:hAnsi="Garamond"/>
      <w:sz w:val="24"/>
      <w:szCs w:val="24"/>
      <w:lang w:eastAsia="es-ES"/>
    </w:rPr>
  </w:style>
  <w:style w:type="paragraph" w:styleId="Prrafodelista">
    <w:name w:val="List Paragraph"/>
    <w:basedOn w:val="Normal"/>
    <w:uiPriority w:val="34"/>
    <w:qFormat/>
    <w:rsid w:val="00DE642E"/>
    <w:pPr>
      <w:suppressAutoHyphens w:val="0"/>
      <w:ind w:left="720"/>
      <w:contextualSpacing/>
    </w:pPr>
    <w:rPr>
      <w:sz w:val="24"/>
      <w:szCs w:val="24"/>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9076">
      <w:bodyDiv w:val="1"/>
      <w:marLeft w:val="0"/>
      <w:marRight w:val="0"/>
      <w:marTop w:val="0"/>
      <w:marBottom w:val="0"/>
      <w:divBdr>
        <w:top w:val="none" w:sz="0" w:space="0" w:color="auto"/>
        <w:left w:val="none" w:sz="0" w:space="0" w:color="auto"/>
        <w:bottom w:val="none" w:sz="0" w:space="0" w:color="auto"/>
        <w:right w:val="none" w:sz="0" w:space="0" w:color="auto"/>
      </w:divBdr>
    </w:div>
    <w:div w:id="307517216">
      <w:bodyDiv w:val="1"/>
      <w:marLeft w:val="0"/>
      <w:marRight w:val="0"/>
      <w:marTop w:val="0"/>
      <w:marBottom w:val="0"/>
      <w:divBdr>
        <w:top w:val="none" w:sz="0" w:space="0" w:color="auto"/>
        <w:left w:val="none" w:sz="0" w:space="0" w:color="auto"/>
        <w:bottom w:val="none" w:sz="0" w:space="0" w:color="auto"/>
        <w:right w:val="none" w:sz="0" w:space="0" w:color="auto"/>
      </w:divBdr>
    </w:div>
    <w:div w:id="829951835">
      <w:bodyDiv w:val="1"/>
      <w:marLeft w:val="0"/>
      <w:marRight w:val="0"/>
      <w:marTop w:val="0"/>
      <w:marBottom w:val="0"/>
      <w:divBdr>
        <w:top w:val="none" w:sz="0" w:space="0" w:color="auto"/>
        <w:left w:val="none" w:sz="0" w:space="0" w:color="auto"/>
        <w:bottom w:val="none" w:sz="0" w:space="0" w:color="auto"/>
        <w:right w:val="none" w:sz="0" w:space="0" w:color="auto"/>
      </w:divBdr>
    </w:div>
    <w:div w:id="853685327">
      <w:bodyDiv w:val="1"/>
      <w:marLeft w:val="0"/>
      <w:marRight w:val="0"/>
      <w:marTop w:val="0"/>
      <w:marBottom w:val="0"/>
      <w:divBdr>
        <w:top w:val="none" w:sz="0" w:space="0" w:color="auto"/>
        <w:left w:val="none" w:sz="0" w:space="0" w:color="auto"/>
        <w:bottom w:val="none" w:sz="0" w:space="0" w:color="auto"/>
        <w:right w:val="none" w:sz="0" w:space="0" w:color="auto"/>
      </w:divBdr>
    </w:div>
    <w:div w:id="19247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9C7C-C158-441F-AEA8-29676359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4723</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ACTA DE DIRECTORIO Nº 1</vt:lpstr>
    </vt:vector>
  </TitlesOfParts>
  <Company>BSA</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DIRECTORIO Nº 1</dc:title>
  <dc:creator>BSA</dc:creator>
  <cp:lastModifiedBy>Damian Zuzek</cp:lastModifiedBy>
  <cp:revision>2</cp:revision>
  <cp:lastPrinted>2020-03-10T15:50:00Z</cp:lastPrinted>
  <dcterms:created xsi:type="dcterms:W3CDTF">2021-09-16T18:40:00Z</dcterms:created>
  <dcterms:modified xsi:type="dcterms:W3CDTF">2021-09-16T18:40:00Z</dcterms:modified>
</cp:coreProperties>
</file>